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D257" w14:textId="77777777" w:rsidR="00343E66" w:rsidRPr="00545D77" w:rsidRDefault="00343E66" w:rsidP="00CC4A13">
      <w:pPr>
        <w:pStyle w:val="Heading2"/>
      </w:pPr>
      <w:r w:rsidRPr="00545D77">
        <w:t>ITEM P-299</w:t>
      </w:r>
      <w:r w:rsidRPr="00545D77">
        <w:tab/>
        <w:t>AGGREGATE SURFACE COURSE</w:t>
      </w:r>
    </w:p>
    <w:p w14:paraId="5C821205" w14:textId="77777777" w:rsidR="00343E66" w:rsidRPr="00C57A97" w:rsidRDefault="00343E66" w:rsidP="00CC4A13">
      <w:pPr>
        <w:pStyle w:val="Title"/>
      </w:pPr>
      <w:r w:rsidRPr="00C57A97">
        <w:t>DESCRIPTION</w:t>
      </w:r>
    </w:p>
    <w:p w14:paraId="04FA2F6C" w14:textId="77777777" w:rsidR="00343E66" w:rsidRPr="00E8519A" w:rsidRDefault="00343E66" w:rsidP="00CC4A13">
      <w:r w:rsidRPr="00E8519A">
        <w:rPr>
          <w:b/>
          <w:bCs/>
          <w:caps/>
        </w:rPr>
        <w:t>2</w:t>
      </w:r>
      <w:r w:rsidRPr="001C17C3">
        <w:rPr>
          <w:rStyle w:val="FAAParagraphHead"/>
        </w:rPr>
        <w:t xml:space="preserve">99-1.1 </w:t>
      </w:r>
      <w:r w:rsidRPr="00E8519A">
        <w:t>This item consists of an aggregate surface course composed of crushed or uncrushed coarse aggregate bonded with either soil or fine aggregate or both. It shall be constructed on a prepared course according to these Specifications and to the dimensions and typical cross section shown on the Plans.</w:t>
      </w:r>
    </w:p>
    <w:p w14:paraId="0CFA0167" w14:textId="77777777" w:rsidR="00343E66" w:rsidRPr="00E8519A" w:rsidRDefault="00343E66" w:rsidP="00CC4A13">
      <w:pPr>
        <w:pStyle w:val="Title"/>
      </w:pPr>
      <w:r w:rsidRPr="00E8519A">
        <w:t>MATERIALS</w:t>
      </w:r>
    </w:p>
    <w:p w14:paraId="6E14849D" w14:textId="71D2F680" w:rsidR="00343E66" w:rsidRPr="00E8519A" w:rsidRDefault="00343E66" w:rsidP="00CC4A13">
      <w:r w:rsidRPr="001C17C3">
        <w:rPr>
          <w:rStyle w:val="FAAParagraphHead"/>
        </w:rPr>
        <w:t>299-2.1 GENERAL.</w:t>
      </w:r>
      <w:r w:rsidRPr="00E8519A">
        <w:t xml:space="preserve"> Aggregates shall consist of hard, durable particles or fragments of stone or gravel mixed or blended with sand, stone dust, or other similar binding or filler materials produced from approved sources. The aggregate shall be free from vegetation, lumps, or excessive amounts of clay and other objectionable substances. The coarse aggregate shall have a </w:t>
      </w:r>
      <w:r w:rsidR="005D0ADE">
        <w:t>maximum</w:t>
      </w:r>
      <w:r w:rsidR="005D0ADE" w:rsidRPr="00E8519A">
        <w:t xml:space="preserve"> </w:t>
      </w:r>
      <w:r w:rsidR="005D0ADE">
        <w:t>Micro-Deval</w:t>
      </w:r>
      <w:r w:rsidR="005D0ADE" w:rsidRPr="00E8519A">
        <w:t xml:space="preserve"> </w:t>
      </w:r>
      <w:r w:rsidRPr="00E8519A">
        <w:t xml:space="preserve">value of </w:t>
      </w:r>
      <w:commentRangeStart w:id="0"/>
      <w:r w:rsidR="00321857">
        <w:t>__</w:t>
      </w:r>
      <w:commentRangeEnd w:id="0"/>
      <w:r w:rsidR="00321857">
        <w:rPr>
          <w:rStyle w:val="CommentReference"/>
        </w:rPr>
        <w:commentReference w:id="0"/>
      </w:r>
      <w:r w:rsidR="005D0ADE">
        <w:t>%</w:t>
      </w:r>
      <w:r w:rsidR="005D0ADE" w:rsidRPr="00E8519A">
        <w:t xml:space="preserve"> </w:t>
      </w:r>
      <w:r w:rsidRPr="00E8519A">
        <w:t xml:space="preserve">when tested according to </w:t>
      </w:r>
      <w:r w:rsidR="00823D1A">
        <w:t>AASHTO T 327</w:t>
      </w:r>
      <w:r w:rsidRPr="00E8519A">
        <w:t xml:space="preserve">. The aggregate shall have a percent of wear not more than 50 at 500 revolutions as determined by AASHTO T 96 and shall not show evidence of disintegration nor show loss greater than 12% when subjected to 5 cycles of sodium sulfate accelerated soundness test using AASHTO T 104. </w:t>
      </w:r>
    </w:p>
    <w:p w14:paraId="24305DB8" w14:textId="77777777" w:rsidR="00343E66" w:rsidRPr="00E8519A" w:rsidRDefault="00343E66" w:rsidP="00CC4A13">
      <w:pPr>
        <w:ind w:left="720" w:hanging="360"/>
        <w:rPr>
          <w:rFonts w:cs="Arial"/>
          <w:szCs w:val="24"/>
        </w:rPr>
      </w:pPr>
      <w:proofErr w:type="gramStart"/>
      <w:r w:rsidRPr="00E8519A">
        <w:rPr>
          <w:b/>
          <w:bCs/>
          <w:szCs w:val="24"/>
        </w:rPr>
        <w:t>a</w:t>
      </w:r>
      <w:proofErr w:type="gramEnd"/>
      <w:r w:rsidRPr="00E8519A">
        <w:rPr>
          <w:b/>
          <w:bCs/>
          <w:szCs w:val="24"/>
        </w:rPr>
        <w:t>.</w:t>
      </w:r>
      <w:r w:rsidRPr="00E8519A">
        <w:rPr>
          <w:b/>
          <w:bCs/>
          <w:szCs w:val="24"/>
        </w:rPr>
        <w:tab/>
      </w:r>
      <w:r w:rsidRPr="00E8519A">
        <w:rPr>
          <w:rFonts w:cs="Arial"/>
          <w:b/>
          <w:bCs/>
          <w:szCs w:val="24"/>
        </w:rPr>
        <w:t>Crushed Aggregate Surface Course.</w:t>
      </w:r>
      <w:r w:rsidRPr="00E8519A">
        <w:rPr>
          <w:rFonts w:cs="Arial"/>
          <w:szCs w:val="24"/>
        </w:rPr>
        <w:t xml:space="preserve"> The aggregates shall consist of both fine and coarse fragments of crushed stone or crushed gravel mixed or blended with sand, screenings, or other similar approved materials. The material shall consist of hard, durable particles or fragments of stone and shall be free from excess soft or disintegrated pieces, dirt, or other objectionable matter. </w:t>
      </w:r>
    </w:p>
    <w:p w14:paraId="6E8817DC" w14:textId="77777777" w:rsidR="00343E66" w:rsidRPr="00E8519A" w:rsidRDefault="00343E66" w:rsidP="00CC4A13">
      <w:pPr>
        <w:ind w:left="720"/>
        <w:rPr>
          <w:rFonts w:cs="Arial"/>
          <w:szCs w:val="24"/>
        </w:rPr>
      </w:pPr>
      <w:r w:rsidRPr="00E8519A">
        <w:rPr>
          <w:rFonts w:cs="Arial"/>
          <w:szCs w:val="24"/>
        </w:rPr>
        <w:t xml:space="preserve">The fractured particles in the finished product shall be as uniform as practicable. At least </w:t>
      </w:r>
      <w:r w:rsidRPr="00E8519A">
        <w:rPr>
          <w:szCs w:val="24"/>
        </w:rPr>
        <w:t>75</w:t>
      </w:r>
      <w:r w:rsidRPr="00E8519A">
        <w:rPr>
          <w:rFonts w:cs="Arial"/>
          <w:szCs w:val="24"/>
        </w:rPr>
        <w:t xml:space="preserve">% by weight of material retained on the No. 4 sieve shall have one or more fractured faces, when tested according </w:t>
      </w:r>
      <w:r w:rsidRPr="00E8519A">
        <w:rPr>
          <w:szCs w:val="24"/>
        </w:rPr>
        <w:t>to ATM</w:t>
      </w:r>
      <w:r w:rsidRPr="00E8519A">
        <w:rPr>
          <w:rFonts w:cs="Arial"/>
          <w:szCs w:val="24"/>
        </w:rPr>
        <w:t> 305.</w:t>
      </w:r>
    </w:p>
    <w:p w14:paraId="76083FB7" w14:textId="77777777" w:rsidR="00343E66" w:rsidRPr="00E8519A" w:rsidRDefault="00343E66" w:rsidP="00CC4A13">
      <w:pPr>
        <w:ind w:left="720"/>
        <w:rPr>
          <w:rFonts w:cs="Arial"/>
          <w:szCs w:val="24"/>
        </w:rPr>
      </w:pPr>
      <w:r w:rsidRPr="00E8519A">
        <w:rPr>
          <w:rFonts w:cs="Arial"/>
          <w:szCs w:val="24"/>
        </w:rPr>
        <w:t>If necessary to meet this requirement, or to eliminate an excess of fine, uncrushed particles, the gravel shall be screened before crushing.</w:t>
      </w:r>
    </w:p>
    <w:p w14:paraId="358145CB" w14:textId="77777777" w:rsidR="00343E66" w:rsidRPr="00E8519A" w:rsidRDefault="00343E66" w:rsidP="00CC4A13">
      <w:pPr>
        <w:ind w:left="720"/>
        <w:rPr>
          <w:rFonts w:cs="Arial"/>
          <w:szCs w:val="24"/>
        </w:rPr>
      </w:pPr>
      <w:r w:rsidRPr="00E8519A">
        <w:rPr>
          <w:rFonts w:cs="Arial"/>
          <w:szCs w:val="24"/>
        </w:rPr>
        <w:t xml:space="preserve">The fine, aggregate portion, defined as the portion passing the No. 4 sieve, produced in crushing operations, shall be incorporated in the base material to the extent permitted by the </w:t>
      </w:r>
      <w:proofErr w:type="spellStart"/>
      <w:r w:rsidRPr="00E8519A">
        <w:rPr>
          <w:rFonts w:cs="Arial"/>
          <w:szCs w:val="24"/>
        </w:rPr>
        <w:t>gradation</w:t>
      </w:r>
      <w:proofErr w:type="spellEnd"/>
      <w:r w:rsidRPr="00E8519A">
        <w:rPr>
          <w:rFonts w:cs="Arial"/>
          <w:szCs w:val="24"/>
        </w:rPr>
        <w:t xml:space="preserve"> requirements.</w:t>
      </w:r>
    </w:p>
    <w:p w14:paraId="3B5F4F65" w14:textId="77777777" w:rsidR="00343E66" w:rsidRPr="00E8519A" w:rsidRDefault="00343E66" w:rsidP="00CC4A13">
      <w:pPr>
        <w:ind w:left="720" w:hanging="360"/>
        <w:rPr>
          <w:rFonts w:cs="Arial"/>
          <w:szCs w:val="24"/>
        </w:rPr>
      </w:pPr>
      <w:r w:rsidRPr="00E8519A">
        <w:rPr>
          <w:rFonts w:cs="Arial"/>
          <w:b/>
          <w:bCs/>
          <w:szCs w:val="24"/>
        </w:rPr>
        <w:t>b.</w:t>
      </w:r>
      <w:r w:rsidRPr="00E8519A">
        <w:rPr>
          <w:rFonts w:cs="Arial"/>
          <w:b/>
          <w:bCs/>
          <w:szCs w:val="24"/>
        </w:rPr>
        <w:tab/>
        <w:t>Uncrushed Aggregate Surface Course.</w:t>
      </w:r>
      <w:r w:rsidRPr="00E8519A">
        <w:rPr>
          <w:rFonts w:cs="Arial"/>
          <w:szCs w:val="24"/>
        </w:rPr>
        <w:t xml:space="preserve"> This material may consist of natural pit-run aggregate. However, screening, blending, ripping, washing, and/or necessary mixing of the material or other processing may be necessary to meet the gradation and performance requirements of this specification. </w:t>
      </w:r>
    </w:p>
    <w:p w14:paraId="52759694" w14:textId="77777777" w:rsidR="00343E66" w:rsidRPr="00E8519A" w:rsidRDefault="00343E66" w:rsidP="00CC4A13">
      <w:r w:rsidRPr="001C17C3">
        <w:rPr>
          <w:rStyle w:val="FAAParagraphHead"/>
        </w:rPr>
        <w:t>299-2.2 GRADATION.</w:t>
      </w:r>
      <w:r w:rsidRPr="00E8519A">
        <w:t xml:space="preserve"> The gradation of the uncrushed or crushed material shall meet the requirements of the gradations indicated in Table 1, when tested according to ATM 304.</w:t>
      </w:r>
    </w:p>
    <w:p w14:paraId="041E9126" w14:textId="77777777" w:rsidR="00343E66" w:rsidRPr="00E8519A" w:rsidRDefault="00343E66" w:rsidP="00CC4A13">
      <w:pPr>
        <w:pStyle w:val="Table"/>
      </w:pPr>
      <w:r w:rsidRPr="00E8519A">
        <w:t xml:space="preserve">TABLE 1    </w:t>
      </w:r>
      <w:r w:rsidRPr="00E8519A">
        <w:br/>
        <w:t>AGGREGATE GRADATION REQUIREMENTS</w:t>
      </w:r>
    </w:p>
    <w:tbl>
      <w:tblPr>
        <w:tblpPr w:leftFromText="2880" w:rightFromText="2880" w:bottomFromText="144"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0"/>
      </w:tblGrid>
      <w:tr w:rsidR="00343E66" w:rsidRPr="00CC4A13" w14:paraId="21D02EDB" w14:textId="77777777" w:rsidTr="00CC4A13">
        <w:tc>
          <w:tcPr>
            <w:tcW w:w="3780" w:type="dxa"/>
          </w:tcPr>
          <w:p w14:paraId="23B30911" w14:textId="77777777" w:rsidR="00343E66" w:rsidRPr="00CC4A13" w:rsidRDefault="00343E66" w:rsidP="00CC4A13">
            <w:pPr>
              <w:spacing w:after="0"/>
              <w:jc w:val="center"/>
              <w:rPr>
                <w:rFonts w:cs="Arial"/>
                <w:b/>
                <w:bCs/>
                <w:szCs w:val="24"/>
              </w:rPr>
            </w:pPr>
            <w:r w:rsidRPr="00CC4A13">
              <w:rPr>
                <w:rFonts w:cs="Arial"/>
                <w:b/>
                <w:bCs/>
                <w:szCs w:val="24"/>
              </w:rPr>
              <w:t>Sieve Designation(Square Openings)</w:t>
            </w:r>
          </w:p>
        </w:tc>
        <w:tc>
          <w:tcPr>
            <w:tcW w:w="4500" w:type="dxa"/>
          </w:tcPr>
          <w:p w14:paraId="266F95BD" w14:textId="77777777" w:rsidR="00343E66" w:rsidRPr="00CC4A13" w:rsidRDefault="00343E66" w:rsidP="00CC4A13">
            <w:pPr>
              <w:spacing w:after="0"/>
              <w:jc w:val="center"/>
              <w:rPr>
                <w:rFonts w:cs="Arial"/>
                <w:b/>
                <w:bCs/>
                <w:szCs w:val="24"/>
              </w:rPr>
            </w:pPr>
            <w:r w:rsidRPr="00CC4A13">
              <w:rPr>
                <w:rFonts w:cs="Arial"/>
                <w:b/>
                <w:bCs/>
                <w:szCs w:val="24"/>
              </w:rPr>
              <w:t>Percentage by weight passing sieves For E-1</w:t>
            </w:r>
          </w:p>
        </w:tc>
      </w:tr>
      <w:tr w:rsidR="00343E66" w:rsidRPr="00CC4A13" w14:paraId="575E9C2B" w14:textId="77777777" w:rsidTr="00CC4A13">
        <w:tc>
          <w:tcPr>
            <w:tcW w:w="3780" w:type="dxa"/>
          </w:tcPr>
          <w:p w14:paraId="4AA24E11" w14:textId="77777777" w:rsidR="00343E66" w:rsidRPr="00CC4A13" w:rsidRDefault="00343E66" w:rsidP="00CC4A13">
            <w:pPr>
              <w:spacing w:after="0"/>
              <w:jc w:val="center"/>
              <w:rPr>
                <w:rFonts w:cs="Arial"/>
                <w:szCs w:val="24"/>
              </w:rPr>
            </w:pPr>
            <w:r w:rsidRPr="00CC4A13">
              <w:rPr>
                <w:rFonts w:cs="Arial"/>
                <w:szCs w:val="24"/>
              </w:rPr>
              <w:t>1.0 in.</w:t>
            </w:r>
          </w:p>
        </w:tc>
        <w:tc>
          <w:tcPr>
            <w:tcW w:w="4500" w:type="dxa"/>
          </w:tcPr>
          <w:p w14:paraId="4F99B918" w14:textId="77777777" w:rsidR="00343E66" w:rsidRPr="00CC4A13" w:rsidRDefault="00343E66" w:rsidP="00CC4A13">
            <w:pPr>
              <w:spacing w:after="0"/>
              <w:jc w:val="center"/>
              <w:rPr>
                <w:rFonts w:cs="Arial"/>
                <w:szCs w:val="24"/>
              </w:rPr>
            </w:pPr>
            <w:r w:rsidRPr="00CC4A13">
              <w:rPr>
                <w:rFonts w:cs="Arial"/>
                <w:szCs w:val="24"/>
              </w:rPr>
              <w:t>100</w:t>
            </w:r>
          </w:p>
        </w:tc>
      </w:tr>
      <w:tr w:rsidR="00343E66" w:rsidRPr="00CC4A13" w14:paraId="577B9A92" w14:textId="77777777" w:rsidTr="00CC4A13">
        <w:tc>
          <w:tcPr>
            <w:tcW w:w="3780" w:type="dxa"/>
          </w:tcPr>
          <w:p w14:paraId="6399FE47" w14:textId="77777777" w:rsidR="00343E66" w:rsidRPr="00CC4A13" w:rsidRDefault="00343E66" w:rsidP="00CC4A13">
            <w:pPr>
              <w:spacing w:after="0"/>
              <w:jc w:val="center"/>
              <w:rPr>
                <w:rFonts w:cs="Arial"/>
                <w:szCs w:val="24"/>
              </w:rPr>
            </w:pPr>
            <w:r w:rsidRPr="00CC4A13">
              <w:rPr>
                <w:rFonts w:cs="Arial"/>
                <w:szCs w:val="24"/>
              </w:rPr>
              <w:t>3/4 in.</w:t>
            </w:r>
          </w:p>
        </w:tc>
        <w:tc>
          <w:tcPr>
            <w:tcW w:w="4500" w:type="dxa"/>
          </w:tcPr>
          <w:p w14:paraId="25BCCFC6" w14:textId="77777777" w:rsidR="00343E66" w:rsidRPr="00CC4A13" w:rsidRDefault="00343E66" w:rsidP="00CC4A13">
            <w:pPr>
              <w:spacing w:after="0"/>
              <w:jc w:val="center"/>
              <w:rPr>
                <w:rFonts w:cs="Arial"/>
                <w:szCs w:val="24"/>
              </w:rPr>
            </w:pPr>
            <w:r w:rsidRPr="00CC4A13">
              <w:rPr>
                <w:rFonts w:cs="Arial"/>
                <w:szCs w:val="24"/>
              </w:rPr>
              <w:t>70-100</w:t>
            </w:r>
          </w:p>
        </w:tc>
      </w:tr>
      <w:tr w:rsidR="00343E66" w:rsidRPr="00CC4A13" w14:paraId="092E7DBD" w14:textId="77777777" w:rsidTr="00CC4A13">
        <w:tc>
          <w:tcPr>
            <w:tcW w:w="3780" w:type="dxa"/>
          </w:tcPr>
          <w:p w14:paraId="3BE5C35B" w14:textId="77777777" w:rsidR="00343E66" w:rsidRPr="00CC4A13" w:rsidRDefault="00343E66" w:rsidP="00CC4A13">
            <w:pPr>
              <w:spacing w:after="0"/>
              <w:jc w:val="center"/>
              <w:rPr>
                <w:rFonts w:cs="Arial"/>
                <w:szCs w:val="24"/>
              </w:rPr>
            </w:pPr>
            <w:r w:rsidRPr="00CC4A13">
              <w:rPr>
                <w:rFonts w:cs="Arial"/>
                <w:szCs w:val="24"/>
              </w:rPr>
              <w:t>3/8 in.</w:t>
            </w:r>
          </w:p>
        </w:tc>
        <w:tc>
          <w:tcPr>
            <w:tcW w:w="4500" w:type="dxa"/>
          </w:tcPr>
          <w:p w14:paraId="78845E9C" w14:textId="77777777" w:rsidR="00343E66" w:rsidRPr="00CC4A13" w:rsidRDefault="00343E66" w:rsidP="00CC4A13">
            <w:pPr>
              <w:spacing w:after="0"/>
              <w:jc w:val="center"/>
              <w:rPr>
                <w:rFonts w:cs="Arial"/>
                <w:szCs w:val="24"/>
              </w:rPr>
            </w:pPr>
            <w:r w:rsidRPr="00CC4A13">
              <w:rPr>
                <w:rFonts w:cs="Arial"/>
                <w:szCs w:val="24"/>
              </w:rPr>
              <w:t>50-85</w:t>
            </w:r>
          </w:p>
        </w:tc>
      </w:tr>
      <w:tr w:rsidR="00343E66" w:rsidRPr="00CC4A13" w14:paraId="63FD0F20" w14:textId="77777777" w:rsidTr="00CC4A13">
        <w:tc>
          <w:tcPr>
            <w:tcW w:w="3780" w:type="dxa"/>
          </w:tcPr>
          <w:p w14:paraId="579A60E6" w14:textId="77777777" w:rsidR="00343E66" w:rsidRPr="00CC4A13" w:rsidRDefault="00343E66" w:rsidP="00CC4A13">
            <w:pPr>
              <w:spacing w:after="0"/>
              <w:jc w:val="center"/>
              <w:rPr>
                <w:rFonts w:cs="Arial"/>
                <w:szCs w:val="24"/>
              </w:rPr>
            </w:pPr>
            <w:r w:rsidRPr="00CC4A13">
              <w:rPr>
                <w:rFonts w:cs="Arial"/>
                <w:szCs w:val="24"/>
              </w:rPr>
              <w:t>No. 4</w:t>
            </w:r>
          </w:p>
        </w:tc>
        <w:tc>
          <w:tcPr>
            <w:tcW w:w="4500" w:type="dxa"/>
          </w:tcPr>
          <w:p w14:paraId="58843BF5" w14:textId="77777777" w:rsidR="00343E66" w:rsidRPr="00CC4A13" w:rsidRDefault="00343E66" w:rsidP="00CC4A13">
            <w:pPr>
              <w:spacing w:after="0"/>
              <w:jc w:val="center"/>
              <w:rPr>
                <w:rFonts w:cs="Arial"/>
                <w:szCs w:val="24"/>
              </w:rPr>
            </w:pPr>
            <w:r w:rsidRPr="00CC4A13">
              <w:rPr>
                <w:rFonts w:cs="Arial"/>
                <w:szCs w:val="24"/>
              </w:rPr>
              <w:t>35-65</w:t>
            </w:r>
          </w:p>
        </w:tc>
      </w:tr>
      <w:tr w:rsidR="00343E66" w:rsidRPr="00CC4A13" w14:paraId="11D6E443" w14:textId="77777777" w:rsidTr="00CC4A13">
        <w:tc>
          <w:tcPr>
            <w:tcW w:w="3780" w:type="dxa"/>
          </w:tcPr>
          <w:p w14:paraId="7E3A38C1" w14:textId="77777777" w:rsidR="00343E66" w:rsidRPr="00CC4A13" w:rsidRDefault="00343E66" w:rsidP="00CC4A13">
            <w:pPr>
              <w:spacing w:after="0"/>
              <w:jc w:val="center"/>
              <w:rPr>
                <w:rFonts w:cs="Arial"/>
                <w:szCs w:val="24"/>
              </w:rPr>
            </w:pPr>
            <w:r w:rsidRPr="00CC4A13">
              <w:rPr>
                <w:rFonts w:cs="Arial"/>
                <w:szCs w:val="24"/>
              </w:rPr>
              <w:t>No. 8</w:t>
            </w:r>
          </w:p>
        </w:tc>
        <w:tc>
          <w:tcPr>
            <w:tcW w:w="4500" w:type="dxa"/>
          </w:tcPr>
          <w:p w14:paraId="1AA0472A" w14:textId="77777777" w:rsidR="00343E66" w:rsidRPr="00CC4A13" w:rsidRDefault="00343E66" w:rsidP="00CC4A13">
            <w:pPr>
              <w:spacing w:after="0"/>
              <w:jc w:val="center"/>
              <w:rPr>
                <w:rFonts w:cs="Arial"/>
                <w:szCs w:val="24"/>
              </w:rPr>
            </w:pPr>
            <w:r w:rsidRPr="00CC4A13">
              <w:rPr>
                <w:rFonts w:cs="Arial"/>
                <w:szCs w:val="24"/>
              </w:rPr>
              <w:t>20-50</w:t>
            </w:r>
          </w:p>
        </w:tc>
      </w:tr>
      <w:tr w:rsidR="00343E66" w:rsidRPr="00CC4A13" w14:paraId="2274F421" w14:textId="77777777" w:rsidTr="00CC4A13">
        <w:tc>
          <w:tcPr>
            <w:tcW w:w="3780" w:type="dxa"/>
          </w:tcPr>
          <w:p w14:paraId="7BFF952F" w14:textId="77777777" w:rsidR="00343E66" w:rsidRPr="00CC4A13" w:rsidRDefault="00343E66" w:rsidP="00CC4A13">
            <w:pPr>
              <w:spacing w:after="0"/>
              <w:jc w:val="center"/>
              <w:rPr>
                <w:rFonts w:cs="Arial"/>
                <w:szCs w:val="24"/>
              </w:rPr>
            </w:pPr>
            <w:r w:rsidRPr="00CC4A13">
              <w:rPr>
                <w:rFonts w:cs="Arial"/>
                <w:szCs w:val="24"/>
              </w:rPr>
              <w:t>No. 50</w:t>
            </w:r>
          </w:p>
        </w:tc>
        <w:tc>
          <w:tcPr>
            <w:tcW w:w="4500" w:type="dxa"/>
          </w:tcPr>
          <w:p w14:paraId="170B2AC8" w14:textId="77777777" w:rsidR="00343E66" w:rsidRPr="00CC4A13" w:rsidRDefault="00343E66" w:rsidP="00CC4A13">
            <w:pPr>
              <w:spacing w:after="0"/>
              <w:jc w:val="center"/>
              <w:rPr>
                <w:rFonts w:cs="Arial"/>
                <w:szCs w:val="24"/>
              </w:rPr>
            </w:pPr>
            <w:r w:rsidRPr="00CC4A13">
              <w:rPr>
                <w:rFonts w:cs="Arial"/>
                <w:szCs w:val="24"/>
              </w:rPr>
              <w:t>15-30</w:t>
            </w:r>
          </w:p>
        </w:tc>
      </w:tr>
      <w:tr w:rsidR="00343E66" w:rsidRPr="00CC4A13" w14:paraId="425F8290" w14:textId="77777777" w:rsidTr="00CC4A13">
        <w:tc>
          <w:tcPr>
            <w:tcW w:w="3780" w:type="dxa"/>
          </w:tcPr>
          <w:p w14:paraId="7BC655AD" w14:textId="77777777" w:rsidR="00343E66" w:rsidRPr="00CC4A13" w:rsidRDefault="00343E66" w:rsidP="00CC4A13">
            <w:pPr>
              <w:spacing w:after="0"/>
              <w:jc w:val="center"/>
              <w:rPr>
                <w:rFonts w:cs="Arial"/>
                <w:szCs w:val="24"/>
              </w:rPr>
            </w:pPr>
            <w:r w:rsidRPr="00CC4A13">
              <w:rPr>
                <w:rFonts w:cs="Arial"/>
                <w:szCs w:val="24"/>
              </w:rPr>
              <w:t>No. 200</w:t>
            </w:r>
          </w:p>
        </w:tc>
        <w:tc>
          <w:tcPr>
            <w:tcW w:w="4500" w:type="dxa"/>
          </w:tcPr>
          <w:p w14:paraId="02D1B6D4" w14:textId="77777777" w:rsidR="00343E66" w:rsidRPr="00CC4A13" w:rsidRDefault="00343E66" w:rsidP="00CC4A13">
            <w:pPr>
              <w:spacing w:after="0"/>
              <w:jc w:val="center"/>
              <w:rPr>
                <w:rFonts w:cs="Arial"/>
                <w:szCs w:val="24"/>
              </w:rPr>
            </w:pPr>
            <w:r w:rsidRPr="00CC4A13">
              <w:rPr>
                <w:rFonts w:cs="Arial"/>
                <w:szCs w:val="24"/>
              </w:rPr>
              <w:t>8-15</w:t>
            </w:r>
          </w:p>
        </w:tc>
      </w:tr>
    </w:tbl>
    <w:p w14:paraId="652093D9" w14:textId="77777777" w:rsidR="00343E66" w:rsidRPr="00E8519A" w:rsidRDefault="00343E66" w:rsidP="00CC4A13">
      <w:r w:rsidRPr="00E8519A">
        <w:lastRenderedPageBreak/>
        <w:t>The specified gradations represent the limits of suitability of aggregate for use from the sources of supply. The final gradations decided on, within the specified limits, shall be well graded from coarse to fine and shall not vary from the low limit on one sieve to the high limit on the adjacent sieves, or vice versa.</w:t>
      </w:r>
    </w:p>
    <w:p w14:paraId="2DD4CBE4" w14:textId="77777777" w:rsidR="00343E66" w:rsidRPr="00E8519A" w:rsidRDefault="00343E66" w:rsidP="00CC4A13">
      <w:r w:rsidRPr="00E8519A">
        <w:t>The portion of the material passing the No. 40 sieve shall have a liquid limit not more than 35 and a plasticity index not more than 10, when tested according to ATM 204 and ATM 205.</w:t>
      </w:r>
    </w:p>
    <w:p w14:paraId="579EBE6C" w14:textId="77777777" w:rsidR="00343E66" w:rsidRPr="00E8519A" w:rsidRDefault="00343E66" w:rsidP="00CC4A13">
      <w:r w:rsidRPr="001C17C3">
        <w:rPr>
          <w:rStyle w:val="FAAParagraphHead"/>
        </w:rPr>
        <w:t>299-2.3 FINES FOR BLENDING.</w:t>
      </w:r>
      <w:r w:rsidRPr="00E8519A">
        <w:t xml:space="preserve"> If additional fine material is necessary, it shall be obtained from approved sources and uniformly blended with the aggregate at the crushing plant, the mixing plant, or as approved by the Engineer. Silt, stone dust, or other similar fine material may be used as binder. </w:t>
      </w:r>
    </w:p>
    <w:p w14:paraId="7FFC11D8" w14:textId="77777777" w:rsidR="00343E66" w:rsidRPr="00E8519A" w:rsidRDefault="00343E66" w:rsidP="00CC4A13">
      <w:pPr>
        <w:pStyle w:val="Title"/>
      </w:pPr>
      <w:r w:rsidRPr="00E8519A">
        <w:t>CONSTRUCTION METHODS</w:t>
      </w:r>
    </w:p>
    <w:p w14:paraId="044578CB" w14:textId="77777777" w:rsidR="00343E66" w:rsidRPr="00E8519A" w:rsidRDefault="00343E66" w:rsidP="00CC4A13">
      <w:pPr>
        <w:rPr>
          <w:b/>
          <w:bCs/>
          <w:caps/>
        </w:rPr>
      </w:pPr>
      <w:r w:rsidRPr="001C17C3">
        <w:rPr>
          <w:rStyle w:val="FAAParagraphHead"/>
        </w:rPr>
        <w:t>299-3.1 (Reserved)</w:t>
      </w:r>
      <w:r w:rsidRPr="00E8519A">
        <w:rPr>
          <w:b/>
          <w:bCs/>
          <w:caps/>
        </w:rPr>
        <w:t>.</w:t>
      </w:r>
    </w:p>
    <w:p w14:paraId="7837B7D1" w14:textId="77777777" w:rsidR="00343E66" w:rsidRPr="00E8519A" w:rsidRDefault="00343E66" w:rsidP="00CC4A13">
      <w:r w:rsidRPr="001C17C3">
        <w:rPr>
          <w:rStyle w:val="FAAParagraphHead"/>
        </w:rPr>
        <w:t>299-3.2 PREPARING UNDERLYING COURSE</w:t>
      </w:r>
      <w:r w:rsidRPr="00E8519A">
        <w:rPr>
          <w:b/>
          <w:bCs/>
          <w:caps/>
        </w:rPr>
        <w:t>.</w:t>
      </w:r>
      <w:r w:rsidRPr="00E8519A">
        <w:t xml:space="preserve"> The underlying course will be checked and accepted by the Engineer before placing and spreading operations are started. Any ruts or soft areas shall be corrected and compacted to the required density before placing aggregate surface course.</w:t>
      </w:r>
    </w:p>
    <w:p w14:paraId="0C93D659" w14:textId="77777777" w:rsidR="00343E66" w:rsidRPr="00E8519A" w:rsidRDefault="00343E66" w:rsidP="00CC4A13">
      <w:r w:rsidRPr="00E8519A">
        <w:t>To protect the underlying course and to ensure proper drainage, the spreading of the aggregate surface course shall begin along the centerline on a crowned section or on the high side of sections with a one-way slope.</w:t>
      </w:r>
    </w:p>
    <w:p w14:paraId="1E92CCE8" w14:textId="77777777" w:rsidR="00343E66" w:rsidRPr="00E8519A" w:rsidRDefault="00343E66" w:rsidP="00CC4A13">
      <w:r w:rsidRPr="001C17C3">
        <w:rPr>
          <w:rStyle w:val="FAAParagraphHead"/>
        </w:rPr>
        <w:t>299-3.3 METHODS OF PRODUCTION</w:t>
      </w:r>
      <w:r w:rsidRPr="00E8519A">
        <w:rPr>
          <w:b/>
          <w:bCs/>
          <w:caps/>
        </w:rPr>
        <w:t>.</w:t>
      </w:r>
      <w:r w:rsidRPr="00E8519A">
        <w:t xml:space="preserve"> The aggregate shall be uniformly blended and when at the satisfactory moisture content per paragraph 299-3.5, the approved material may be transported directly to the spreading equipment.</w:t>
      </w:r>
    </w:p>
    <w:p w14:paraId="00CB9915" w14:textId="77777777" w:rsidR="00343E66" w:rsidRPr="00E8519A" w:rsidRDefault="00343E66" w:rsidP="00CC4A13">
      <w:r w:rsidRPr="001C17C3">
        <w:rPr>
          <w:rStyle w:val="FAAParagraphHead"/>
        </w:rPr>
        <w:t>299-3.4 PLACING</w:t>
      </w:r>
      <w:r w:rsidRPr="00E8519A">
        <w:rPr>
          <w:b/>
          <w:bCs/>
          <w:caps/>
        </w:rPr>
        <w:t>.</w:t>
      </w:r>
      <w:r w:rsidRPr="00E8519A">
        <w:t xml:space="preserve"> The surface course shall be constructed without segregation of the aggregate. The material shall be placed in uniform, equal-depth layers, each not exceeding 6 inches of compacted depth. No material shall be placed in snow or on a soft </w:t>
      </w:r>
      <w:proofErr w:type="spellStart"/>
      <w:r w:rsidRPr="00E8519A">
        <w:t>uncompacted</w:t>
      </w:r>
      <w:proofErr w:type="spellEnd"/>
      <w:r w:rsidRPr="00E8519A">
        <w:t>, muddy, or frozen course.</w:t>
      </w:r>
    </w:p>
    <w:p w14:paraId="1DBC61F8" w14:textId="77777777" w:rsidR="00343E66" w:rsidRPr="00E8519A" w:rsidRDefault="00343E66" w:rsidP="00CC4A13">
      <w:r w:rsidRPr="00E8519A">
        <w:t>During the mixing and spreading process, sufficient caution shall be exercised to prevent the incorporation of subgrade, subbase, or shoulder material in the surface course mixture.</w:t>
      </w:r>
    </w:p>
    <w:p w14:paraId="5F07286E" w14:textId="77777777" w:rsidR="00343E66" w:rsidRPr="00E8519A" w:rsidRDefault="00343E66" w:rsidP="00CC4A13">
      <w:r w:rsidRPr="001C17C3">
        <w:rPr>
          <w:rStyle w:val="FAAParagraphHead"/>
        </w:rPr>
        <w:t>299-3.5 COMPACTION</w:t>
      </w:r>
      <w:r w:rsidRPr="00E8519A">
        <w:rPr>
          <w:b/>
          <w:bCs/>
          <w:caps/>
        </w:rPr>
        <w:t>.</w:t>
      </w:r>
      <w:r w:rsidRPr="00E8519A">
        <w:t xml:space="preserve"> Immediately upon completion of the spreading operations, the aggregate shall be thoroughly compacted to the required density. The moisture content of the material shall be ± 2 percentage points of the optimum moisture content.</w:t>
      </w:r>
      <w:r w:rsidRPr="00E8519A" w:rsidDel="007B3B8B">
        <w:t xml:space="preserve"> </w:t>
      </w:r>
    </w:p>
    <w:p w14:paraId="30A6F84A" w14:textId="77777777" w:rsidR="00343E66" w:rsidRPr="00E8519A" w:rsidRDefault="00343E66" w:rsidP="00CC4A13">
      <w:r w:rsidRPr="001C17C3">
        <w:rPr>
          <w:rStyle w:val="FAAParagraphHead"/>
        </w:rPr>
        <w:t>299-3.6 ACCEPTANCE SAMPLING AND TESTING FOR DENSITY</w:t>
      </w:r>
      <w:r w:rsidRPr="00E8519A">
        <w:rPr>
          <w:b/>
          <w:bCs/>
          <w:caps/>
        </w:rPr>
        <w:t>.</w:t>
      </w:r>
      <w:r w:rsidRPr="00E8519A">
        <w:t xml:space="preserve"> The surface course will be accepted for density when the field density is not less than 95% of the maximum density, as determined according to ATM 207, ATM 212, or ATM 309. The control strip for ATM 309 shall be compacted by a vibratory compactor with a minimum operating weight of 22,000 pounds. The in-place field density and moisture content will be determined according to ATM 213. If the specified density is not attained, the material shall be reworked and/or </w:t>
      </w:r>
      <w:proofErr w:type="spellStart"/>
      <w:r w:rsidRPr="00E8519A">
        <w:t>recompacted</w:t>
      </w:r>
      <w:proofErr w:type="spellEnd"/>
      <w:r w:rsidRPr="00E8519A">
        <w:t xml:space="preserve"> until the specified density is reached.</w:t>
      </w:r>
    </w:p>
    <w:p w14:paraId="108FF578" w14:textId="77777777" w:rsidR="00343E66" w:rsidRPr="00E8519A" w:rsidRDefault="00343E66" w:rsidP="00CC4A13">
      <w:r w:rsidRPr="001C17C3">
        <w:rPr>
          <w:rStyle w:val="FAAParagraphHead"/>
        </w:rPr>
        <w:t>299-3.7 FINISHING</w:t>
      </w:r>
      <w:r w:rsidRPr="00E8519A">
        <w:rPr>
          <w:b/>
          <w:bCs/>
          <w:caps/>
        </w:rPr>
        <w:t>.</w:t>
      </w:r>
      <w:r w:rsidRPr="00E8519A">
        <w:t xml:space="preserve"> The surface of the aggregate surface course shall be finished by blading or with automated equipment specifically designed for this purpose.</w:t>
      </w:r>
    </w:p>
    <w:p w14:paraId="7DC8B41D" w14:textId="77777777" w:rsidR="00343E66" w:rsidRPr="00E8519A" w:rsidRDefault="00343E66" w:rsidP="00CC4A13">
      <w:r w:rsidRPr="00E8519A">
        <w:t xml:space="preserve">In no case shall thin layers of material be added to the top of surface course to meet grade. If the compacted elevation of the top layer is 0.05 foot or more below grade, it shall be scarified to a depth of at least 3 inches, new material added, and the layer shall be blended and compacted to bring it to grade. If the finished surface is above plan grade, it shall be cut back to grade and </w:t>
      </w:r>
      <w:proofErr w:type="spellStart"/>
      <w:r w:rsidRPr="00E8519A">
        <w:t>recompacted</w:t>
      </w:r>
      <w:proofErr w:type="spellEnd"/>
      <w:r w:rsidRPr="00E8519A">
        <w:t>.</w:t>
      </w:r>
    </w:p>
    <w:p w14:paraId="17B2AD3B" w14:textId="77777777" w:rsidR="00343E66" w:rsidRPr="00E8519A" w:rsidRDefault="00343E66" w:rsidP="00CC4A13">
      <w:r w:rsidRPr="001C17C3">
        <w:rPr>
          <w:rStyle w:val="FAAParagraphHead"/>
        </w:rPr>
        <w:t>299-3.8 SURFACE TEST</w:t>
      </w:r>
      <w:r w:rsidRPr="00E8519A">
        <w:rPr>
          <w:b/>
          <w:bCs/>
          <w:caps/>
        </w:rPr>
        <w:t>.</w:t>
      </w:r>
      <w:r w:rsidRPr="00E8519A">
        <w:t xml:space="preserve"> After the course has been completely compacted, the surface will be tested by the Engineer for smoothness and accuracy of grade and crown. The finished grade elevation shall not vary more than 0.05 foot from the design elevation. The finished surface shall not vary more than 3/8 inch from a 12-foot straightedge when applied to the surface parallel with, and at right angles to, the centerline. Any </w:t>
      </w:r>
      <w:r w:rsidRPr="00E8519A">
        <w:lastRenderedPageBreak/>
        <w:t>portion lacking the required smoothness or failing in accuracy of grade or crown shall be corrected to within the specified tolerances and approved by the Engineer.</w:t>
      </w:r>
    </w:p>
    <w:p w14:paraId="3CAC6B1A" w14:textId="77777777" w:rsidR="00343E66" w:rsidRPr="00E8519A" w:rsidRDefault="00343E66" w:rsidP="00CC4A13">
      <w:r w:rsidRPr="001C17C3">
        <w:rPr>
          <w:rStyle w:val="FAAParagraphHead"/>
        </w:rPr>
        <w:t>299-3.9 PROTECTION</w:t>
      </w:r>
      <w:r w:rsidRPr="00E8519A">
        <w:rPr>
          <w:b/>
          <w:bCs/>
          <w:caps/>
        </w:rPr>
        <w:t>.</w:t>
      </w:r>
      <w:r w:rsidRPr="00E8519A">
        <w:t xml:space="preserve"> Work on the surface course shall not be accomplished during freezing temperatures or when the subgrade is wet. When the aggregates contain frozen materials or when the underlying course is frozen, the construction shall be stopped.</w:t>
      </w:r>
    </w:p>
    <w:p w14:paraId="3D95A6E7" w14:textId="77777777" w:rsidR="00343E66" w:rsidRPr="00E8519A" w:rsidRDefault="00343E66" w:rsidP="00CC4A13">
      <w:r w:rsidRPr="00E8519A">
        <w:t>Hauling equipment may be routed over completed portions of the surface course, provided no damage results and provided that such equipment is routed over the full width of the surface course to avoid rutting or uneven compaction. However, the Engineer in charge will have full and specific authority to stop all hauling over completed or partially completed surface course when, in their opinion, such hauling is causing damage. Any damage resulting to the surface course from routing equipment over the surface course shall be repaired by the Contractor at their own expense.</w:t>
      </w:r>
    </w:p>
    <w:p w14:paraId="3130B952" w14:textId="77777777" w:rsidR="00343E66" w:rsidRPr="00E8519A" w:rsidRDefault="00343E66" w:rsidP="00CC4A13">
      <w:r w:rsidRPr="001C17C3">
        <w:rPr>
          <w:rStyle w:val="FAAParagraphHead"/>
        </w:rPr>
        <w:t>299-3.10 MAINTENANCE</w:t>
      </w:r>
      <w:r w:rsidRPr="00E8519A">
        <w:rPr>
          <w:b/>
          <w:bCs/>
          <w:caps/>
        </w:rPr>
        <w:t>.</w:t>
      </w:r>
      <w:r w:rsidRPr="00E8519A">
        <w:t xml:space="preserve"> Following the completion of the aggregate surface course, the Contractor shall satisfactorily remove all blue tops, fill and compact the voids, and perform all maintenance work on this surface until final acceptance unless otherwise stated in the Specifications. The surface course shall be properly drained at all times. </w:t>
      </w:r>
    </w:p>
    <w:p w14:paraId="35424A9E" w14:textId="77777777" w:rsidR="00343E66" w:rsidRPr="00E8519A" w:rsidRDefault="00343E66" w:rsidP="00CC4A13">
      <w:pPr>
        <w:pStyle w:val="Title"/>
      </w:pPr>
      <w:bookmarkStart w:id="1" w:name="_GoBack"/>
      <w:bookmarkEnd w:id="1"/>
      <w:r w:rsidRPr="00E8519A">
        <w:t>METHOD OF MEASUREMENT</w:t>
      </w:r>
    </w:p>
    <w:p w14:paraId="4B356258" w14:textId="77777777" w:rsidR="00343E66" w:rsidRPr="00E8519A" w:rsidRDefault="00343E66" w:rsidP="00CC4A13">
      <w:r w:rsidRPr="001C17C3">
        <w:rPr>
          <w:rStyle w:val="FAAParagraphHead"/>
        </w:rPr>
        <w:t>299-4.1</w:t>
      </w:r>
      <w:r w:rsidRPr="00E8519A">
        <w:rPr>
          <w:b/>
          <w:bCs/>
        </w:rPr>
        <w:t xml:space="preserve"> </w:t>
      </w:r>
      <w:r w:rsidRPr="00E8519A">
        <w:t xml:space="preserve">Aggregate Surface Course will be weighed by the ton or measured by the cubic yard in final position according to </w:t>
      </w:r>
      <w:r>
        <w:t xml:space="preserve">GCP </w:t>
      </w:r>
      <w:r w:rsidRPr="00E8519A">
        <w:t>Subsection 90-02.</w:t>
      </w:r>
    </w:p>
    <w:p w14:paraId="5A0AA6BB" w14:textId="77777777" w:rsidR="00343E66" w:rsidRPr="00E8519A" w:rsidRDefault="00343E66" w:rsidP="00CC4A13">
      <w:pPr>
        <w:pStyle w:val="Title"/>
      </w:pPr>
      <w:r w:rsidRPr="00E8519A">
        <w:t>BASIS OF PAYMENT</w:t>
      </w:r>
    </w:p>
    <w:p w14:paraId="65AB28D3" w14:textId="77777777" w:rsidR="00343E66" w:rsidRPr="00E8519A" w:rsidRDefault="00343E66" w:rsidP="00CC4A13">
      <w:r w:rsidRPr="001C17C3">
        <w:rPr>
          <w:rStyle w:val="FAAParagraphHead"/>
        </w:rPr>
        <w:t>299-5.1</w:t>
      </w:r>
      <w:r w:rsidRPr="00E8519A">
        <w:t xml:space="preserve"> Aggregate Surface Course will be paid for at the contract price, per unit of measurement, accepted in place. </w:t>
      </w:r>
    </w:p>
    <w:p w14:paraId="724A1F22" w14:textId="77777777" w:rsidR="00343E66" w:rsidRPr="00E8519A" w:rsidRDefault="00343E66" w:rsidP="00CC4A13">
      <w:r w:rsidRPr="00E8519A">
        <w:t>Payment will be made under:</w:t>
      </w:r>
    </w:p>
    <w:p w14:paraId="20995E8E" w14:textId="77777777" w:rsidR="00343E66" w:rsidRPr="00E8519A" w:rsidRDefault="00343E66" w:rsidP="00CC4A13">
      <w:pPr>
        <w:ind w:left="720"/>
        <w:contextualSpacing/>
      </w:pPr>
      <w:r w:rsidRPr="00E8519A">
        <w:t>Item P299.010.0000</w:t>
      </w:r>
      <w:r w:rsidRPr="00E8519A">
        <w:tab/>
        <w:t>Crushed Aggregate Surface Course – per cubic yard</w:t>
      </w:r>
    </w:p>
    <w:p w14:paraId="36CD2329" w14:textId="77777777" w:rsidR="00343E66" w:rsidRPr="00E8519A" w:rsidRDefault="00343E66" w:rsidP="00CC4A13">
      <w:pPr>
        <w:ind w:left="720"/>
        <w:contextualSpacing/>
      </w:pPr>
      <w:r w:rsidRPr="00E8519A">
        <w:t>Item P299.020.0000</w:t>
      </w:r>
      <w:r w:rsidRPr="00E8519A">
        <w:tab/>
        <w:t>Crushed Aggregate Surface Course – per ton</w:t>
      </w:r>
    </w:p>
    <w:p w14:paraId="76CAB0DC" w14:textId="77777777" w:rsidR="00343E66" w:rsidRPr="00E8519A" w:rsidRDefault="00343E66" w:rsidP="00CC4A13">
      <w:pPr>
        <w:ind w:left="720"/>
        <w:contextualSpacing/>
      </w:pPr>
      <w:r w:rsidRPr="00E8519A">
        <w:t>Item P299.030.0000</w:t>
      </w:r>
      <w:r w:rsidRPr="00E8519A">
        <w:tab/>
        <w:t>Crushed Aggregate Surface Course – per contingent sum</w:t>
      </w:r>
    </w:p>
    <w:p w14:paraId="58EFE760" w14:textId="77777777" w:rsidR="00343E66" w:rsidRPr="00E8519A" w:rsidRDefault="00343E66" w:rsidP="00CC4A13">
      <w:pPr>
        <w:ind w:left="720"/>
      </w:pPr>
      <w:r w:rsidRPr="00E8519A">
        <w:t>Item P299.040.0000</w:t>
      </w:r>
      <w:r w:rsidRPr="00E8519A">
        <w:tab/>
        <w:t>Uncrushed Aggregate Surface Course – per cubic yard</w:t>
      </w:r>
    </w:p>
    <w:p w14:paraId="068C26AB" w14:textId="2EA7B646" w:rsidR="00343E66" w:rsidRPr="00E8519A" w:rsidRDefault="005C2B86" w:rsidP="00CC4A13">
      <w:pPr>
        <w:pStyle w:val="Title"/>
      </w:pPr>
      <w:r>
        <w:t>REFERENCES</w:t>
      </w:r>
    </w:p>
    <w:p w14:paraId="49B42AF6" w14:textId="77777777" w:rsidR="00343E66" w:rsidRPr="00E8519A" w:rsidRDefault="00343E66" w:rsidP="00DE1438">
      <w:pPr>
        <w:tabs>
          <w:tab w:val="left" w:pos="2880"/>
        </w:tabs>
        <w:ind w:left="3600" w:hanging="2880"/>
        <w:rPr>
          <w:rFonts w:cs="Arial"/>
          <w:szCs w:val="20"/>
        </w:rPr>
      </w:pPr>
      <w:r w:rsidRPr="00E8519A">
        <w:rPr>
          <w:rFonts w:cs="Arial"/>
          <w:szCs w:val="20"/>
        </w:rPr>
        <w:t xml:space="preserve">AASHTO T 96   </w:t>
      </w:r>
      <w:r w:rsidRPr="00E8519A">
        <w:rPr>
          <w:rFonts w:cs="Arial"/>
          <w:szCs w:val="20"/>
        </w:rPr>
        <w:tab/>
        <w:t xml:space="preserve">Resistance to Degradation of Small-Size </w:t>
      </w:r>
      <w:proofErr w:type="gramStart"/>
      <w:r w:rsidRPr="00E8519A">
        <w:rPr>
          <w:rFonts w:cs="Arial"/>
          <w:szCs w:val="20"/>
        </w:rPr>
        <w:t>Coarse</w:t>
      </w:r>
      <w:proofErr w:type="gramEnd"/>
      <w:r w:rsidRPr="00E8519A">
        <w:rPr>
          <w:rFonts w:cs="Arial"/>
          <w:szCs w:val="20"/>
        </w:rPr>
        <w:t xml:space="preserve"> Aggregate by Abrasion and Impact in the Los Angeles Machine</w:t>
      </w:r>
    </w:p>
    <w:p w14:paraId="1FE10C17" w14:textId="224EF7FA" w:rsidR="00343E66" w:rsidRDefault="00343E66" w:rsidP="00DE1438">
      <w:pPr>
        <w:tabs>
          <w:tab w:val="left" w:pos="2880"/>
        </w:tabs>
        <w:ind w:left="3600" w:hanging="2880"/>
        <w:rPr>
          <w:rFonts w:cs="Arial"/>
          <w:szCs w:val="20"/>
        </w:rPr>
      </w:pPr>
      <w:r w:rsidRPr="00E8519A">
        <w:rPr>
          <w:rFonts w:cs="Arial"/>
          <w:szCs w:val="20"/>
        </w:rPr>
        <w:t>AASHTO T 104</w:t>
      </w:r>
      <w:r w:rsidRPr="00E8519A">
        <w:rPr>
          <w:rFonts w:cs="Arial"/>
          <w:szCs w:val="20"/>
        </w:rPr>
        <w:tab/>
        <w:t>Soundness of Aggregate by Use of Sodium Sulfate or Magnesium Sulfate</w:t>
      </w:r>
    </w:p>
    <w:p w14:paraId="0A88D9D0" w14:textId="2EE03840" w:rsidR="00DE1438" w:rsidRPr="00E8519A" w:rsidRDefault="00DE1438" w:rsidP="00DE1438">
      <w:pPr>
        <w:tabs>
          <w:tab w:val="left" w:pos="2880"/>
        </w:tabs>
        <w:ind w:left="3600" w:hanging="2880"/>
        <w:rPr>
          <w:rFonts w:cs="Arial"/>
          <w:szCs w:val="20"/>
        </w:rPr>
      </w:pPr>
      <w:r>
        <w:rPr>
          <w:rFonts w:cs="Arial"/>
          <w:szCs w:val="20"/>
        </w:rPr>
        <w:t>AASHTO T 327</w:t>
      </w:r>
      <w:r>
        <w:rPr>
          <w:rFonts w:cs="Arial"/>
          <w:szCs w:val="20"/>
        </w:rPr>
        <w:tab/>
      </w:r>
      <w:r>
        <w:rPr>
          <w:rFonts w:cs="Arial"/>
        </w:rPr>
        <w:t xml:space="preserve">Resistance of </w:t>
      </w:r>
      <w:proofErr w:type="gramStart"/>
      <w:r>
        <w:rPr>
          <w:rFonts w:cs="Arial"/>
        </w:rPr>
        <w:t>Coarse</w:t>
      </w:r>
      <w:proofErr w:type="gramEnd"/>
      <w:r>
        <w:rPr>
          <w:rFonts w:cs="Arial"/>
        </w:rPr>
        <w:t xml:space="preserve"> Aggregate to Degradation by Abrasion in the Micro-Deval Apparatus</w:t>
      </w:r>
    </w:p>
    <w:p w14:paraId="5A1174BB" w14:textId="77777777" w:rsidR="00343E66" w:rsidRPr="00E8519A" w:rsidRDefault="00343E66" w:rsidP="00DE1438">
      <w:pPr>
        <w:tabs>
          <w:tab w:val="left" w:pos="2880"/>
        </w:tabs>
        <w:ind w:left="3600" w:hanging="2880"/>
        <w:rPr>
          <w:rFonts w:cs="Arial"/>
          <w:szCs w:val="20"/>
        </w:rPr>
      </w:pPr>
      <w:r w:rsidRPr="00E8519A">
        <w:rPr>
          <w:rFonts w:cs="Arial"/>
          <w:szCs w:val="20"/>
        </w:rPr>
        <w:t>ATM 204</w:t>
      </w:r>
      <w:r w:rsidRPr="00E8519A">
        <w:rPr>
          <w:rFonts w:cs="Arial"/>
          <w:szCs w:val="20"/>
        </w:rPr>
        <w:tab/>
        <w:t>WAQTC FOP for AASHTO T 89 Determining the Liquid Limit of Soils</w:t>
      </w:r>
    </w:p>
    <w:p w14:paraId="6AB816F4" w14:textId="77777777" w:rsidR="00343E66" w:rsidRPr="00E8519A" w:rsidRDefault="00343E66" w:rsidP="00DE1438">
      <w:pPr>
        <w:tabs>
          <w:tab w:val="left" w:pos="2880"/>
        </w:tabs>
        <w:ind w:left="3600" w:hanging="2880"/>
        <w:rPr>
          <w:rFonts w:cs="Arial"/>
          <w:szCs w:val="20"/>
        </w:rPr>
      </w:pPr>
      <w:r w:rsidRPr="00E8519A">
        <w:rPr>
          <w:rFonts w:cs="Arial"/>
          <w:szCs w:val="20"/>
        </w:rPr>
        <w:t>ATM 205</w:t>
      </w:r>
      <w:r w:rsidRPr="00E8519A">
        <w:rPr>
          <w:rFonts w:cs="Arial"/>
          <w:szCs w:val="20"/>
        </w:rPr>
        <w:tab/>
        <w:t>WAQTC FOP for AASHTO T 90 Determining the Plastic Limit and Plasticity Index of Soils</w:t>
      </w:r>
    </w:p>
    <w:p w14:paraId="3355737F" w14:textId="492AF6EC" w:rsidR="00343E66" w:rsidRPr="00E8519A" w:rsidRDefault="00343E66" w:rsidP="00DE1438">
      <w:pPr>
        <w:tabs>
          <w:tab w:val="left" w:pos="2880"/>
        </w:tabs>
        <w:ind w:left="3600" w:hanging="2880"/>
        <w:rPr>
          <w:rFonts w:cs="Arial"/>
          <w:szCs w:val="20"/>
        </w:rPr>
      </w:pPr>
      <w:r w:rsidRPr="00E8519A">
        <w:rPr>
          <w:rFonts w:cs="Arial"/>
          <w:szCs w:val="20"/>
        </w:rPr>
        <w:t>ATM 207</w:t>
      </w:r>
      <w:r w:rsidRPr="00E8519A">
        <w:rPr>
          <w:rFonts w:cs="Arial"/>
          <w:szCs w:val="20"/>
        </w:rPr>
        <w:tab/>
        <w:t>WAQTC FOP for AASHTO T 99/ T 180 Moisture-Density Relations of Soils</w:t>
      </w:r>
    </w:p>
    <w:p w14:paraId="2312722C" w14:textId="37276F13" w:rsidR="003E1F87" w:rsidRDefault="003E1F87" w:rsidP="00DE1438">
      <w:pPr>
        <w:tabs>
          <w:tab w:val="left" w:pos="2880"/>
        </w:tabs>
        <w:ind w:left="3600" w:hanging="2880"/>
        <w:rPr>
          <w:rFonts w:cs="Arial"/>
          <w:szCs w:val="20"/>
        </w:rPr>
      </w:pPr>
      <w:r>
        <w:rPr>
          <w:rFonts w:cs="Arial"/>
          <w:szCs w:val="20"/>
        </w:rPr>
        <w:t>ATM 212</w:t>
      </w:r>
      <w:r>
        <w:rPr>
          <w:rFonts w:cs="Arial"/>
          <w:szCs w:val="20"/>
        </w:rPr>
        <w:tab/>
        <w:t>Determining the Standard Density of Coarse Granular Materials using the Vibratory Compactor</w:t>
      </w:r>
    </w:p>
    <w:p w14:paraId="703C9558" w14:textId="104F89AA" w:rsidR="00343E66" w:rsidRDefault="00343E66" w:rsidP="00DE1438">
      <w:pPr>
        <w:tabs>
          <w:tab w:val="left" w:pos="2880"/>
        </w:tabs>
        <w:ind w:left="3600" w:hanging="2880"/>
        <w:rPr>
          <w:rFonts w:cs="Arial"/>
          <w:szCs w:val="20"/>
        </w:rPr>
      </w:pPr>
      <w:r w:rsidRPr="00E8519A">
        <w:rPr>
          <w:rFonts w:cs="Arial"/>
          <w:szCs w:val="20"/>
        </w:rPr>
        <w:t>ATM 213</w:t>
      </w:r>
      <w:r w:rsidRPr="00E8519A">
        <w:rPr>
          <w:rFonts w:cs="Arial"/>
          <w:szCs w:val="20"/>
        </w:rPr>
        <w:tab/>
        <w:t>WAQTC FOP for AASHTO T 310 In-Place Density and Moisture Content of Soil and Soil-Aggregate by Nuclear Methods (Shallow Depth)</w:t>
      </w:r>
    </w:p>
    <w:p w14:paraId="1020840F" w14:textId="5FAFBFAD" w:rsidR="00F77C8E" w:rsidRPr="00E8519A" w:rsidRDefault="00F77C8E" w:rsidP="00DE1438">
      <w:pPr>
        <w:tabs>
          <w:tab w:val="left" w:pos="2880"/>
        </w:tabs>
        <w:ind w:left="3600" w:hanging="2880"/>
        <w:rPr>
          <w:rFonts w:cs="Arial"/>
          <w:szCs w:val="20"/>
        </w:rPr>
      </w:pPr>
      <w:r w:rsidRPr="00E8519A">
        <w:rPr>
          <w:rFonts w:cs="Arial"/>
          <w:szCs w:val="20"/>
        </w:rPr>
        <w:lastRenderedPageBreak/>
        <w:t>ATM 304</w:t>
      </w:r>
      <w:r w:rsidRPr="00E8519A">
        <w:rPr>
          <w:rFonts w:cs="Arial"/>
          <w:szCs w:val="20"/>
        </w:rPr>
        <w:tab/>
        <w:t xml:space="preserve">WAQTC FOP for AASHTO T 27/T 11 Sieve Analysis of Fine and </w:t>
      </w:r>
      <w:proofErr w:type="gramStart"/>
      <w:r w:rsidRPr="00E8519A">
        <w:rPr>
          <w:rFonts w:cs="Arial"/>
          <w:szCs w:val="20"/>
        </w:rPr>
        <w:t>Coarse</w:t>
      </w:r>
      <w:proofErr w:type="gramEnd"/>
      <w:r w:rsidRPr="00E8519A">
        <w:rPr>
          <w:rFonts w:cs="Arial"/>
          <w:szCs w:val="20"/>
        </w:rPr>
        <w:t xml:space="preserve"> Aggregates</w:t>
      </w:r>
    </w:p>
    <w:p w14:paraId="5F3A3260" w14:textId="549BBB0B" w:rsidR="00343E66" w:rsidRDefault="00343E66" w:rsidP="00DE1438">
      <w:pPr>
        <w:tabs>
          <w:tab w:val="left" w:pos="2880"/>
        </w:tabs>
        <w:ind w:left="3600" w:hanging="2880"/>
        <w:rPr>
          <w:rFonts w:cs="Arial"/>
          <w:szCs w:val="20"/>
        </w:rPr>
      </w:pPr>
      <w:r w:rsidRPr="00E8519A">
        <w:rPr>
          <w:rFonts w:cs="Arial"/>
          <w:szCs w:val="20"/>
        </w:rPr>
        <w:t>ATM 305</w:t>
      </w:r>
      <w:r w:rsidRPr="00E8519A">
        <w:rPr>
          <w:rFonts w:cs="Arial"/>
          <w:szCs w:val="20"/>
        </w:rPr>
        <w:tab/>
        <w:t xml:space="preserve">WAQTC FOP for AASHTO T 335 Determining the Percentage of Fracture in </w:t>
      </w:r>
      <w:proofErr w:type="gramStart"/>
      <w:r w:rsidRPr="00E8519A">
        <w:rPr>
          <w:rFonts w:cs="Arial"/>
          <w:szCs w:val="20"/>
        </w:rPr>
        <w:t>Coarse</w:t>
      </w:r>
      <w:proofErr w:type="gramEnd"/>
      <w:r w:rsidRPr="00E8519A">
        <w:rPr>
          <w:rFonts w:cs="Arial"/>
          <w:szCs w:val="20"/>
        </w:rPr>
        <w:t xml:space="preserve"> Aggregate</w:t>
      </w:r>
    </w:p>
    <w:p w14:paraId="403D7353" w14:textId="6EE97423" w:rsidR="00FC11EA" w:rsidRDefault="00FC11EA" w:rsidP="00DE1438">
      <w:pPr>
        <w:tabs>
          <w:tab w:val="left" w:pos="2880"/>
        </w:tabs>
        <w:ind w:left="3600" w:hanging="2880"/>
        <w:rPr>
          <w:rFonts w:cs="Arial"/>
          <w:szCs w:val="20"/>
        </w:rPr>
      </w:pPr>
      <w:r>
        <w:rPr>
          <w:rFonts w:cs="Arial"/>
          <w:szCs w:val="20"/>
        </w:rPr>
        <w:t>ATM 309</w:t>
      </w:r>
      <w:r>
        <w:rPr>
          <w:rFonts w:cs="Arial"/>
          <w:szCs w:val="20"/>
        </w:rPr>
        <w:tab/>
        <w:t>Relative Standard Density of Soils by the Control Strip Method</w:t>
      </w:r>
    </w:p>
    <w:p w14:paraId="56AB6BCF" w14:textId="01B9E3C4" w:rsidR="005D0ADE" w:rsidRDefault="005D0ADE" w:rsidP="00DE1438">
      <w:pPr>
        <w:tabs>
          <w:tab w:val="left" w:pos="2880"/>
        </w:tabs>
        <w:ind w:left="3600" w:hanging="2880"/>
        <w:rPr>
          <w:rFonts w:cs="Arial"/>
          <w:szCs w:val="20"/>
        </w:rPr>
      </w:pPr>
    </w:p>
    <w:sectPr w:rsidR="005D0ADE">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aver, Jon M (DOT)" w:date="2022-04-07T07:48:00Z" w:initials="JMW">
    <w:p w14:paraId="77972474" w14:textId="77777777" w:rsidR="00321857" w:rsidRDefault="00321857">
      <w:pPr>
        <w:pStyle w:val="CommentText"/>
      </w:pPr>
      <w:r>
        <w:rPr>
          <w:rStyle w:val="CommentReference"/>
        </w:rPr>
        <w:annotationRef/>
      </w:r>
      <w:r>
        <w:t>Note to designer:</w:t>
      </w:r>
    </w:p>
    <w:p w14:paraId="7C5E7644" w14:textId="77777777" w:rsidR="00321857" w:rsidRDefault="00321857">
      <w:pPr>
        <w:pStyle w:val="CommentText"/>
      </w:pPr>
      <w:r>
        <w:t>Use 15% for airports with Maximum Gross Takeoff Weight &gt;12,500 pounds.</w:t>
      </w:r>
    </w:p>
    <w:p w14:paraId="4EEBFFEB" w14:textId="77777777" w:rsidR="00321857" w:rsidRDefault="00321857">
      <w:pPr>
        <w:pStyle w:val="CommentText"/>
      </w:pPr>
      <w:r>
        <w:t xml:space="preserve">Use 21% for airports with Maximum Gross Takeoff Weight </w:t>
      </w:r>
      <w:r>
        <w:rPr>
          <w:rFonts w:cs="Arial"/>
        </w:rPr>
        <w:t>≤</w:t>
      </w:r>
      <w:r>
        <w:t>12,500 pounds.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BFF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20FD" w14:textId="77777777" w:rsidR="00240396" w:rsidRDefault="00240396">
      <w:pPr>
        <w:spacing w:after="0"/>
      </w:pPr>
      <w:r>
        <w:separator/>
      </w:r>
    </w:p>
  </w:endnote>
  <w:endnote w:type="continuationSeparator" w:id="0">
    <w:p w14:paraId="347E73BB" w14:textId="77777777" w:rsidR="00240396" w:rsidRDefault="00240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8450" w14:textId="0AC6178B" w:rsidR="00B700A2" w:rsidRDefault="00B700A2" w:rsidP="00B700A2">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D61B7A">
      <w:rPr>
        <w:b/>
      </w:rPr>
      <w:t>5</w:t>
    </w:r>
    <w:r w:rsidR="000654BD">
      <w:rPr>
        <w:b/>
      </w:rPr>
      <w:t>/23</w:t>
    </w:r>
  </w:p>
  <w:p w14:paraId="0DE4DF5C" w14:textId="67C823F4" w:rsidR="00CC4A13" w:rsidRPr="00B700A2" w:rsidRDefault="00B700A2" w:rsidP="00B700A2">
    <w:pPr>
      <w:tabs>
        <w:tab w:val="center" w:pos="4680"/>
        <w:tab w:val="right" w:pos="9360"/>
      </w:tabs>
      <w:spacing w:after="0"/>
    </w:pPr>
    <w:r>
      <w:rPr>
        <w:b/>
      </w:rPr>
      <w:t>AIP/</w:t>
    </w:r>
    <w:proofErr w:type="spellStart"/>
    <w:r>
      <w:rPr>
        <w:b/>
      </w:rPr>
      <w:t>Proj</w:t>
    </w:r>
    <w:proofErr w:type="spellEnd"/>
    <w:r>
      <w:rPr>
        <w:b/>
      </w:rPr>
      <w:t xml:space="preserve"> #</w:t>
    </w:r>
    <w:r>
      <w:rPr>
        <w:b/>
      </w:rPr>
      <w:tab/>
      <w:t>P-299-</w:t>
    </w:r>
    <w:r>
      <w:rPr>
        <w:b/>
      </w:rPr>
      <w:fldChar w:fldCharType="begin"/>
    </w:r>
    <w:r>
      <w:rPr>
        <w:b/>
      </w:rPr>
      <w:instrText xml:space="preserve"> PAGE </w:instrText>
    </w:r>
    <w:r>
      <w:rPr>
        <w:b/>
      </w:rPr>
      <w:fldChar w:fldCharType="separate"/>
    </w:r>
    <w:r w:rsidR="00D7339D">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AEC5" w14:textId="77777777" w:rsidR="00240396" w:rsidRDefault="00240396">
      <w:pPr>
        <w:spacing w:after="0"/>
      </w:pPr>
      <w:r>
        <w:separator/>
      </w:r>
    </w:p>
  </w:footnote>
  <w:footnote w:type="continuationSeparator" w:id="0">
    <w:p w14:paraId="6FAFE081" w14:textId="77777777" w:rsidR="00240396" w:rsidRDefault="00240396">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66"/>
    <w:rsid w:val="000654BD"/>
    <w:rsid w:val="00240396"/>
    <w:rsid w:val="00321857"/>
    <w:rsid w:val="00343E66"/>
    <w:rsid w:val="003E1F87"/>
    <w:rsid w:val="00475443"/>
    <w:rsid w:val="004A15A5"/>
    <w:rsid w:val="004C5B06"/>
    <w:rsid w:val="005C2B86"/>
    <w:rsid w:val="005D0ADE"/>
    <w:rsid w:val="00823D1A"/>
    <w:rsid w:val="008E79EA"/>
    <w:rsid w:val="00A96A16"/>
    <w:rsid w:val="00AF7C87"/>
    <w:rsid w:val="00B700A2"/>
    <w:rsid w:val="00CC4A13"/>
    <w:rsid w:val="00CC7BDD"/>
    <w:rsid w:val="00D61B7A"/>
    <w:rsid w:val="00D7339D"/>
    <w:rsid w:val="00DE1438"/>
    <w:rsid w:val="00F77C8E"/>
    <w:rsid w:val="00FC11EA"/>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4815683"/>
  <w15:chartTrackingRefBased/>
  <w15:docId w15:val="{1E3780BC-5778-4118-AE2D-F3703DF5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96A16"/>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A96A16"/>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A96A16"/>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A96A16"/>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A96A16"/>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A96A16"/>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A96A16"/>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A96A16"/>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A96A16"/>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43E66"/>
    <w:rPr>
      <w:rFonts w:ascii="Calibri Light" w:eastAsia="Times New Roman" w:hAnsi="Calibri Light" w:cs="Times New Roman"/>
      <w:color w:val="2E74B5"/>
      <w:sz w:val="32"/>
      <w:szCs w:val="32"/>
    </w:rPr>
  </w:style>
  <w:style w:type="character" w:customStyle="1" w:styleId="Heading2Char">
    <w:name w:val="Heading 2 Char"/>
    <w:link w:val="Heading2"/>
    <w:rsid w:val="00A96A16"/>
    <w:rPr>
      <w:rFonts w:ascii="Arial" w:eastAsia="Times New Roman" w:hAnsi="Arial"/>
      <w:b/>
      <w:bCs/>
      <w:sz w:val="24"/>
      <w:szCs w:val="24"/>
    </w:rPr>
  </w:style>
  <w:style w:type="paragraph" w:styleId="Header">
    <w:name w:val="header"/>
    <w:basedOn w:val="Normal"/>
    <w:link w:val="HeaderChar"/>
    <w:uiPriority w:val="99"/>
    <w:unhideWhenUsed/>
    <w:rsid w:val="00343E66"/>
    <w:pPr>
      <w:tabs>
        <w:tab w:val="center" w:pos="4680"/>
        <w:tab w:val="right" w:pos="9360"/>
      </w:tabs>
      <w:spacing w:after="0"/>
    </w:pPr>
  </w:style>
  <w:style w:type="character" w:customStyle="1" w:styleId="HeaderChar">
    <w:name w:val="Header Char"/>
    <w:link w:val="Header"/>
    <w:uiPriority w:val="99"/>
    <w:rsid w:val="00343E66"/>
    <w:rPr>
      <w:rFonts w:ascii="Arial" w:eastAsia="Calibri" w:hAnsi="Arial" w:cs="Times New Roman"/>
      <w:sz w:val="20"/>
    </w:rPr>
  </w:style>
  <w:style w:type="character" w:styleId="PageNumber">
    <w:name w:val="page number"/>
    <w:semiHidden/>
    <w:rsid w:val="00343E66"/>
  </w:style>
  <w:style w:type="paragraph" w:styleId="Title">
    <w:name w:val="Title"/>
    <w:basedOn w:val="Normal"/>
    <w:link w:val="TitleChar"/>
    <w:unhideWhenUsed/>
    <w:qFormat/>
    <w:rsid w:val="00A96A16"/>
    <w:pPr>
      <w:jc w:val="center"/>
    </w:pPr>
    <w:rPr>
      <w:rFonts w:eastAsia="Times New Roman" w:cs="Arial"/>
      <w:b/>
      <w:bCs/>
      <w:szCs w:val="24"/>
    </w:rPr>
  </w:style>
  <w:style w:type="character" w:customStyle="1" w:styleId="TitleChar">
    <w:name w:val="Title Char"/>
    <w:link w:val="Title"/>
    <w:rsid w:val="00A96A16"/>
    <w:rPr>
      <w:rFonts w:ascii="Arial" w:eastAsia="Times New Roman" w:hAnsi="Arial" w:cs="Arial"/>
      <w:b/>
      <w:bCs/>
      <w:szCs w:val="24"/>
    </w:rPr>
  </w:style>
  <w:style w:type="character" w:customStyle="1" w:styleId="FAAParagraphHead">
    <w:name w:val="FAA Paragraph Head"/>
    <w:uiPriority w:val="1"/>
    <w:qFormat/>
    <w:rsid w:val="00A96A16"/>
    <w:rPr>
      <w:rFonts w:ascii="Arial" w:hAnsi="Arial"/>
      <w:b/>
      <w:bCs/>
      <w:caps/>
      <w:smallCaps w:val="0"/>
      <w:sz w:val="20"/>
    </w:rPr>
  </w:style>
  <w:style w:type="paragraph" w:customStyle="1" w:styleId="Table">
    <w:name w:val="Table"/>
    <w:basedOn w:val="Normal"/>
    <w:link w:val="TableChar"/>
    <w:uiPriority w:val="2"/>
    <w:unhideWhenUsed/>
    <w:qFormat/>
    <w:rsid w:val="00A96A16"/>
    <w:pPr>
      <w:keepNext/>
      <w:contextualSpacing/>
      <w:jc w:val="center"/>
    </w:pPr>
    <w:rPr>
      <w:rFonts w:eastAsia="Times New Roman" w:cs="Arial"/>
      <w:b/>
      <w:bCs/>
      <w:szCs w:val="24"/>
    </w:rPr>
  </w:style>
  <w:style w:type="character" w:customStyle="1" w:styleId="TableChar">
    <w:name w:val="Table Char"/>
    <w:link w:val="Table"/>
    <w:uiPriority w:val="2"/>
    <w:rsid w:val="00A96A16"/>
    <w:rPr>
      <w:rFonts w:ascii="Arial" w:eastAsia="Times New Roman" w:hAnsi="Arial" w:cs="Arial"/>
      <w:b/>
      <w:bCs/>
      <w:szCs w:val="24"/>
    </w:rPr>
  </w:style>
  <w:style w:type="character" w:customStyle="1" w:styleId="Heading1Char1">
    <w:name w:val="Heading 1 Char1"/>
    <w:link w:val="Heading1"/>
    <w:uiPriority w:val="9"/>
    <w:rsid w:val="00A96A16"/>
    <w:rPr>
      <w:rFonts w:ascii="Cambria" w:hAnsi="Cambria" w:cs="Arial"/>
      <w:b/>
      <w:bCs/>
      <w:color w:val="365F91"/>
      <w:sz w:val="28"/>
      <w:szCs w:val="28"/>
    </w:rPr>
  </w:style>
  <w:style w:type="paragraph" w:styleId="Footer">
    <w:name w:val="footer"/>
    <w:basedOn w:val="Normal"/>
    <w:link w:val="FooterChar"/>
    <w:uiPriority w:val="99"/>
    <w:unhideWhenUsed/>
    <w:rsid w:val="008E79EA"/>
    <w:pPr>
      <w:tabs>
        <w:tab w:val="center" w:pos="4680"/>
        <w:tab w:val="right" w:pos="9360"/>
      </w:tabs>
    </w:pPr>
  </w:style>
  <w:style w:type="character" w:customStyle="1" w:styleId="FooterChar">
    <w:name w:val="Footer Char"/>
    <w:link w:val="Footer"/>
    <w:uiPriority w:val="99"/>
    <w:rsid w:val="008E79EA"/>
    <w:rPr>
      <w:sz w:val="22"/>
      <w:szCs w:val="22"/>
    </w:rPr>
  </w:style>
  <w:style w:type="character" w:customStyle="1" w:styleId="Note">
    <w:name w:val="Note"/>
    <w:uiPriority w:val="1"/>
    <w:semiHidden/>
    <w:unhideWhenUsed/>
    <w:qFormat/>
    <w:rsid w:val="00A96A16"/>
    <w:rPr>
      <w:rFonts w:ascii="Times New Roman" w:hAnsi="Times New Roman"/>
      <w:sz w:val="20"/>
      <w:szCs w:val="18"/>
    </w:rPr>
  </w:style>
  <w:style w:type="character" w:customStyle="1" w:styleId="FAAparagraphheads">
    <w:name w:val="FAA paragraph heads"/>
    <w:uiPriority w:val="1"/>
    <w:semiHidden/>
    <w:unhideWhenUsed/>
    <w:qFormat/>
    <w:rsid w:val="00A96A16"/>
    <w:rPr>
      <w:rFonts w:ascii="Arial" w:hAnsi="Arial" w:cs="Arial"/>
      <w:b/>
      <w:bCs/>
      <w:caps/>
      <w:smallCaps w:val="0"/>
      <w:sz w:val="20"/>
      <w:szCs w:val="24"/>
    </w:rPr>
  </w:style>
  <w:style w:type="character" w:customStyle="1" w:styleId="Heading3Char">
    <w:name w:val="Heading 3 Char"/>
    <w:link w:val="Heading3"/>
    <w:uiPriority w:val="9"/>
    <w:semiHidden/>
    <w:rsid w:val="00A96A16"/>
    <w:rPr>
      <w:rFonts w:ascii="Arial" w:eastAsia="Times New Roman" w:hAnsi="Arial" w:cs="Arial"/>
      <w:b/>
      <w:sz w:val="36"/>
      <w:szCs w:val="24"/>
    </w:rPr>
  </w:style>
  <w:style w:type="character" w:customStyle="1" w:styleId="Heading4Char">
    <w:name w:val="Heading 4 Char"/>
    <w:link w:val="Heading4"/>
    <w:uiPriority w:val="9"/>
    <w:semiHidden/>
    <w:rsid w:val="00A96A16"/>
    <w:rPr>
      <w:rFonts w:ascii="Arial" w:eastAsia="Times New Roman" w:hAnsi="Arial"/>
      <w:b/>
      <w:sz w:val="36"/>
      <w:szCs w:val="24"/>
    </w:rPr>
  </w:style>
  <w:style w:type="character" w:customStyle="1" w:styleId="Heading5Char">
    <w:name w:val="Heading 5 Char"/>
    <w:link w:val="Heading5"/>
    <w:uiPriority w:val="9"/>
    <w:semiHidden/>
    <w:rsid w:val="00A96A16"/>
    <w:rPr>
      <w:rFonts w:ascii="Arial" w:eastAsia="Times New Roman" w:hAnsi="Arial" w:cs="Arial"/>
      <w:b/>
      <w:sz w:val="28"/>
      <w:szCs w:val="28"/>
    </w:rPr>
  </w:style>
  <w:style w:type="character" w:customStyle="1" w:styleId="Heading6Char">
    <w:name w:val="Heading 6 Char"/>
    <w:link w:val="Heading6"/>
    <w:uiPriority w:val="9"/>
    <w:semiHidden/>
    <w:rsid w:val="00A96A16"/>
    <w:rPr>
      <w:rFonts w:ascii="Calibri" w:eastAsia="Times New Roman" w:hAnsi="Calibri" w:cs="Times New Roman"/>
      <w:b/>
      <w:bCs/>
      <w:sz w:val="22"/>
      <w:szCs w:val="22"/>
    </w:rPr>
  </w:style>
  <w:style w:type="character" w:customStyle="1" w:styleId="Heading8Char">
    <w:name w:val="Heading 8 Char"/>
    <w:link w:val="Heading8"/>
    <w:uiPriority w:val="9"/>
    <w:semiHidden/>
    <w:rsid w:val="00A96A16"/>
    <w:rPr>
      <w:rFonts w:eastAsia="Times New Roman"/>
      <w:i/>
      <w:iCs/>
      <w:sz w:val="24"/>
      <w:szCs w:val="24"/>
    </w:rPr>
  </w:style>
  <w:style w:type="character" w:customStyle="1" w:styleId="Heading9Char">
    <w:name w:val="Heading 9 Char"/>
    <w:link w:val="Heading9"/>
    <w:uiPriority w:val="9"/>
    <w:semiHidden/>
    <w:rsid w:val="00A96A16"/>
    <w:rPr>
      <w:rFonts w:ascii="Cambria" w:eastAsia="Times New Roman" w:hAnsi="Cambria"/>
    </w:rPr>
  </w:style>
  <w:style w:type="paragraph" w:styleId="TOC1">
    <w:name w:val="toc 1"/>
    <w:basedOn w:val="Normal"/>
    <w:next w:val="Normal"/>
    <w:uiPriority w:val="39"/>
    <w:semiHidden/>
    <w:unhideWhenUsed/>
    <w:qFormat/>
    <w:rsid w:val="00A96A16"/>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A96A16"/>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A96A16"/>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A96A16"/>
    <w:pPr>
      <w:spacing w:after="240"/>
      <w:ind w:left="720"/>
      <w:contextualSpacing/>
    </w:pPr>
  </w:style>
  <w:style w:type="paragraph" w:styleId="TOCHeading">
    <w:name w:val="TOC Heading"/>
    <w:basedOn w:val="Heading1"/>
    <w:next w:val="Normal"/>
    <w:uiPriority w:val="39"/>
    <w:semiHidden/>
    <w:unhideWhenUsed/>
    <w:qFormat/>
    <w:rsid w:val="00A96A16"/>
    <w:pPr>
      <w:outlineLvl w:val="9"/>
    </w:pPr>
    <w:rPr>
      <w:rFonts w:eastAsia="Times New Roman" w:cs="Times New Roman"/>
      <w:lang w:eastAsia="ja-JP"/>
    </w:rPr>
  </w:style>
  <w:style w:type="character" w:styleId="CommentReference">
    <w:name w:val="annotation reference"/>
    <w:basedOn w:val="DefaultParagraphFont"/>
    <w:uiPriority w:val="99"/>
    <w:semiHidden/>
    <w:unhideWhenUsed/>
    <w:rsid w:val="00321857"/>
    <w:rPr>
      <w:sz w:val="16"/>
      <w:szCs w:val="16"/>
    </w:rPr>
  </w:style>
  <w:style w:type="paragraph" w:styleId="CommentText">
    <w:name w:val="annotation text"/>
    <w:basedOn w:val="Normal"/>
    <w:link w:val="CommentTextChar"/>
    <w:uiPriority w:val="99"/>
    <w:semiHidden/>
    <w:unhideWhenUsed/>
    <w:rsid w:val="00321857"/>
    <w:rPr>
      <w:szCs w:val="20"/>
    </w:rPr>
  </w:style>
  <w:style w:type="character" w:customStyle="1" w:styleId="CommentTextChar">
    <w:name w:val="Comment Text Char"/>
    <w:basedOn w:val="DefaultParagraphFont"/>
    <w:link w:val="CommentText"/>
    <w:uiPriority w:val="99"/>
    <w:semiHidden/>
    <w:rsid w:val="00321857"/>
    <w:rPr>
      <w:rFonts w:ascii="Arial" w:hAnsi="Arial"/>
    </w:rPr>
  </w:style>
  <w:style w:type="paragraph" w:styleId="CommentSubject">
    <w:name w:val="annotation subject"/>
    <w:basedOn w:val="CommentText"/>
    <w:next w:val="CommentText"/>
    <w:link w:val="CommentSubjectChar"/>
    <w:uiPriority w:val="99"/>
    <w:semiHidden/>
    <w:unhideWhenUsed/>
    <w:rsid w:val="00321857"/>
    <w:rPr>
      <w:b/>
      <w:bCs/>
    </w:rPr>
  </w:style>
  <w:style w:type="character" w:customStyle="1" w:styleId="CommentSubjectChar">
    <w:name w:val="Comment Subject Char"/>
    <w:basedOn w:val="CommentTextChar"/>
    <w:link w:val="CommentSubject"/>
    <w:uiPriority w:val="99"/>
    <w:semiHidden/>
    <w:rsid w:val="00321857"/>
    <w:rPr>
      <w:rFonts w:ascii="Arial" w:hAnsi="Arial"/>
      <w:b/>
      <w:bCs/>
    </w:rPr>
  </w:style>
  <w:style w:type="paragraph" w:styleId="BalloonText">
    <w:name w:val="Balloon Text"/>
    <w:basedOn w:val="Normal"/>
    <w:link w:val="BalloonTextChar"/>
    <w:uiPriority w:val="99"/>
    <w:semiHidden/>
    <w:unhideWhenUsed/>
    <w:rsid w:val="003218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A248-1974-4C76-AE4D-7D076DB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14</cp:revision>
  <dcterms:created xsi:type="dcterms:W3CDTF">2022-04-07T15:46:00Z</dcterms:created>
  <dcterms:modified xsi:type="dcterms:W3CDTF">2023-05-15T21:08:00Z</dcterms:modified>
</cp:coreProperties>
</file>